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0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1"/>
        <w:gridCol w:w="279"/>
        <w:gridCol w:w="1500"/>
        <w:gridCol w:w="1680"/>
      </w:tblGrid>
      <w:tr w:rsidR="00000000">
        <w:trPr>
          <w:trHeight w:val="27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a4a7cb2"/>
            </w:pPr>
            <w:bookmarkStart w:id="0" w:name="_GoBack"/>
            <w:bookmarkEnd w:id="0"/>
            <w:r>
              <w:rPr>
                <w:rStyle w:val="cs1ba52a261"/>
              </w:rPr>
              <w:t>ПОЯСНИТЕЛЬНАЯ ЗАПИСКА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</w:tr>
      <w:tr w:rsidR="00000000">
        <w:trPr>
          <w:trHeight w:val="25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a4a7cb2"/>
            </w:pPr>
            <w:r>
              <w:rPr>
                <w:rStyle w:val="csb5073c151"/>
              </w:rPr>
              <w:t>КОДЫ</w:t>
            </w:r>
          </w:p>
        </w:tc>
      </w:tr>
      <w:tr w:rsidR="00000000">
        <w:trPr>
          <w:trHeight w:val="28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7c1f8b9d"/>
            </w:pPr>
            <w:r>
              <w:rPr>
                <w:rStyle w:val="csb5073c151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a4a7cb2"/>
            </w:pPr>
            <w:r>
              <w:rPr>
                <w:rStyle w:val="csb5073c151"/>
              </w:rPr>
              <w:t>0503160</w:t>
            </w:r>
          </w:p>
        </w:tc>
      </w:tr>
      <w:tr w:rsidR="00000000">
        <w:trPr>
          <w:trHeight w:val="282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a4a7cb2"/>
            </w:pPr>
            <w:r>
              <w:rPr>
                <w:rStyle w:val="csb5073c151"/>
              </w:rPr>
              <w:t>на 1 января 2019 г.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7c1f8b9d"/>
            </w:pPr>
            <w:r>
              <w:rPr>
                <w:rStyle w:val="csb5073c151"/>
              </w:rPr>
              <w:t>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a4a7cb2"/>
            </w:pPr>
            <w:r>
              <w:rPr>
                <w:rStyle w:val="cs5ace105b1"/>
              </w:rPr>
              <w:t>01.01.2019</w:t>
            </w:r>
          </w:p>
        </w:tc>
      </w:tr>
      <w:tr w:rsidR="00000000">
        <w:trPr>
          <w:trHeight w:val="30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b5073c151"/>
              </w:rPr>
              <w:t>Главный распорядитель, распорядитель,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</w:tr>
      <w:tr w:rsidR="00000000">
        <w:trPr>
          <w:trHeight w:val="19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430a9416"/>
            </w:pPr>
            <w:r>
              <w:rPr>
                <w:rStyle w:val="csb5073c151"/>
              </w:rPr>
              <w:t xml:space="preserve">получатель бюджетных средств, главный администратор, 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a33de6751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a33de6751"/>
              </w:rPr>
              <w:t> 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a33de6751"/>
              </w:rPr>
              <w:t> </w:t>
            </w:r>
          </w:p>
        </w:tc>
      </w:tr>
      <w:tr w:rsidR="00000000">
        <w:trPr>
          <w:trHeight w:val="19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430a9416"/>
            </w:pPr>
            <w:r>
              <w:rPr>
                <w:rStyle w:val="csb5073c151"/>
              </w:rPr>
              <w:t>администратор доходов бюджета,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a33de6751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cdf190b1"/>
            </w:pPr>
            <w:r>
              <w:rPr>
                <w:rStyle w:val="csb5073c151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c0f5598e"/>
            </w:pPr>
            <w:r>
              <w:rPr>
                <w:rStyle w:val="cs5ace105b1"/>
              </w:rPr>
              <w:t>83993240</w:t>
            </w:r>
          </w:p>
        </w:tc>
      </w:tr>
      <w:tr w:rsidR="00000000">
        <w:trPr>
          <w:trHeight w:val="19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430a9416"/>
            </w:pPr>
            <w:r>
              <w:rPr>
                <w:rStyle w:val="csb5073c151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a33de6751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a33de6751"/>
              </w:rPr>
              <w:t> 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a33de6751"/>
              </w:rPr>
              <w:t> </w:t>
            </w:r>
          </w:p>
        </w:tc>
      </w:tr>
      <w:tr w:rsidR="00000000">
        <w:trPr>
          <w:trHeight w:val="19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430a9416"/>
            </w:pPr>
            <w:r>
              <w:rPr>
                <w:rStyle w:val="csb5073c151"/>
              </w:rPr>
              <w:t>источников финансирования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a33de6751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a33de6751"/>
              </w:rPr>
              <w:t> 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a33de6751"/>
              </w:rPr>
              <w:t> </w:t>
            </w:r>
          </w:p>
        </w:tc>
      </w:tr>
      <w:tr w:rsidR="0000000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b5073c151"/>
              </w:rPr>
              <w:t xml:space="preserve">дефицита бюджета </w:t>
            </w:r>
            <w:r>
              <w:rPr>
                <w:rStyle w:val="csf290b4841"/>
              </w:rPr>
              <w:t>Департамент Смоленской области по информационным технологиям</w:t>
            </w:r>
            <w:r>
              <w:rPr>
                <w:rStyle w:val="csb5073c151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7c1f8b9d"/>
            </w:pPr>
            <w:r>
              <w:rPr>
                <w:rStyle w:val="csb5073c151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a4a7cb2"/>
            </w:pPr>
            <w:r>
              <w:rPr>
                <w:rStyle w:val="cs5ace105b1"/>
              </w:rPr>
              <w:t>835</w:t>
            </w:r>
          </w:p>
        </w:tc>
      </w:tr>
      <w:tr w:rsidR="00000000">
        <w:trPr>
          <w:trHeight w:val="270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b5073c151"/>
              </w:rPr>
              <w:t xml:space="preserve">Наименование бюджета 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</w:tr>
      <w:tr w:rsidR="00000000">
        <w:trPr>
          <w:trHeight w:val="21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b5073c151"/>
              </w:rPr>
              <w:t xml:space="preserve">(публично-правового образования) </w:t>
            </w:r>
            <w:r>
              <w:rPr>
                <w:rStyle w:val="csf290b4841"/>
              </w:rPr>
              <w:t xml:space="preserve">Бюджет субъекта РФ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cdf190b1"/>
            </w:pPr>
            <w:r>
              <w:rPr>
                <w:rStyle w:val="csb5073c151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c0f5598e"/>
            </w:pPr>
            <w:r>
              <w:rPr>
                <w:rStyle w:val="cse6f24a671"/>
              </w:rPr>
              <w:t>66701000</w:t>
            </w:r>
          </w:p>
        </w:tc>
      </w:tr>
      <w:tr w:rsidR="00000000">
        <w:trPr>
          <w:trHeight w:val="315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b5073c151"/>
              </w:rPr>
              <w:t>Периодичность: месячная, квартальная, годовая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</w:tr>
      <w:tr w:rsidR="00000000">
        <w:trPr>
          <w:trHeight w:val="28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b5073c151"/>
              </w:rPr>
              <w:t>Единица измерения: руб.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bbdd4ae1"/>
            </w:pPr>
            <w:r>
              <w:rPr>
                <w:rStyle w:val="csb5073c151"/>
              </w:rPr>
              <w:t>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a4a7cb2"/>
            </w:pPr>
            <w:r>
              <w:rPr>
                <w:rStyle w:val="csb5073c151"/>
              </w:rPr>
              <w:t>383</w:t>
            </w:r>
          </w:p>
        </w:tc>
      </w:tr>
      <w:tr w:rsidR="00000000">
        <w:trPr>
          <w:trHeight w:val="282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</w:tr>
    </w:tbl>
    <w:p w:rsidR="00000000" w:rsidRDefault="009A5A04">
      <w:pPr>
        <w:pStyle w:val="cs823a7807"/>
      </w:pPr>
      <w:r>
        <w:rPr>
          <w:rStyle w:val="cs1027841"/>
        </w:rPr>
        <w:t>Раздел 1 "Организационная структура субъекта бюджетной отчетности"</w:t>
      </w:r>
      <w:r>
        <w:rPr>
          <w:rStyle w:val="cs23fb06641"/>
        </w:rPr>
        <w:t xml:space="preserve"> </w:t>
      </w:r>
      <w:r>
        <w:rPr>
          <w:rStyle w:val="cs23fb06641"/>
        </w:rPr>
        <w:t>Сведения об организации: Департамент Смоленской области по информационным технологиям (далее- Департамент),юридический адрес: 214008,г.Смоленск,пл.Ленина,д.1.Департамент является органом исполнительной власти Смоленской области, осуществляющим исполнительн</w:t>
      </w:r>
      <w:r>
        <w:rPr>
          <w:rStyle w:val="cs23fb06641"/>
        </w:rPr>
        <w:t>о-распорядительные функции в сфере информационных технологий, связи по вопросам обеспечения предоставления государственных и муниципальных услуг в электронном виде. Департамент оуществляет свою деятельность во взаимодействии с органами исполнительной власт</w:t>
      </w:r>
      <w:r>
        <w:rPr>
          <w:rStyle w:val="cs23fb06641"/>
        </w:rPr>
        <w:t>и Смоленской области, территориальными органами федеральных органов исполнительной власти, органами местного самоуправления муниципальных образований Смоленской области, общественными объединениями, а также с другими организациями,независимо от их организа</w:t>
      </w:r>
      <w:r>
        <w:rPr>
          <w:rStyle w:val="cs23fb06641"/>
        </w:rPr>
        <w:t>ционно-правовых форм.Департамент обладает правами юридического лица, имеет лицевые счета в финансовом органе Смоленской области, в Управлении Федерального казначейства,печать со своим наименованием и изображением Государственного герба Российской Федерации</w:t>
      </w:r>
      <w:r>
        <w:rPr>
          <w:rStyle w:val="cs23fb06641"/>
        </w:rPr>
        <w:t>, а также другие печати, штампы, бланки, необходимые при осуществлении своей деятельности.В ведомственном подчинении Департамента по состоянию на 01.01.2019 находятся 2 государственных учреждения (бюджетное и автономное). Бюджетный учет ведется в ПК "Турбо</w:t>
      </w:r>
      <w:r>
        <w:rPr>
          <w:rStyle w:val="cs23fb06641"/>
        </w:rPr>
        <w:t>Бухгатер".Деятельность Департамента в 2018 году осуществлялась за счет средств областного бюджета и средств федерального бюджета.</w:t>
      </w:r>
    </w:p>
    <w:p w:rsidR="00000000" w:rsidRDefault="009A5A04">
      <w:pPr>
        <w:pStyle w:val="cs823a7807"/>
      </w:pPr>
      <w:r>
        <w:rPr>
          <w:rStyle w:val="cs1027841"/>
        </w:rPr>
        <w:t>Раздел 2 "Результаты деятельности субъекта бюджетной отчетности</w:t>
      </w:r>
      <w:r>
        <w:rPr>
          <w:rStyle w:val="cs23fb06641"/>
        </w:rPr>
        <w:t>" Штатная численность Департамента по состоянию на 01.01.2019г.</w:t>
      </w:r>
      <w:r>
        <w:rPr>
          <w:rStyle w:val="cs23fb06641"/>
        </w:rPr>
        <w:t xml:space="preserve"> составила 32 человека. В 2018 году за счет средств Департамента обучение специалистов не проводилось, один человек посетил семинар. Показатели расходов на приобретение товаров (работ, услуг) отражены в отчете (ф. 0503127) на 01.01.2019. Одной из мер по по</w:t>
      </w:r>
      <w:r>
        <w:rPr>
          <w:rStyle w:val="cs23fb06641"/>
        </w:rPr>
        <w:t xml:space="preserve">вышению эффективности расходования бюджетных средств является экономия средств при проведении определения поставщика , так в 2018 году экономия при проведении конкурентных способов определения поставщика составила 497 529,06 руб. Другой мерой по повышению </w:t>
      </w:r>
      <w:r>
        <w:rPr>
          <w:rStyle w:val="cs23fb06641"/>
        </w:rPr>
        <w:t>эффективности расходования средств является установление лимитов на оплату услуг служебной сотовой связи (распоряжение Администрации Смоленской области от 28.10.2016 №1659-р/адм). Так возмещение услуг связи (превышение лимита сотовой связи сотрудниками орг</w:t>
      </w:r>
      <w:r>
        <w:rPr>
          <w:rStyle w:val="cs23fb06641"/>
        </w:rPr>
        <w:t xml:space="preserve">анов исполнительной власти) составило 15 192,70 руб., в т.ч. перечислено в доход бюджета за предыдущие годы 8 134,67 руб. Стоимость основных средств Департамента по состоянию на 01.01.2019 - </w:t>
      </w:r>
      <w:r>
        <w:rPr>
          <w:rStyle w:val="cs7591b9d91"/>
        </w:rPr>
        <w:t>62721531,00 руб. (движимое имущество)</w:t>
      </w:r>
      <w:r>
        <w:rPr>
          <w:rStyle w:val="cs23fb06641"/>
        </w:rPr>
        <w:t>, остаточная стоимость 11277</w:t>
      </w:r>
      <w:r>
        <w:rPr>
          <w:rStyle w:val="cs23fb06641"/>
        </w:rPr>
        <w:t xml:space="preserve">028,39 </w:t>
      </w:r>
      <w:r>
        <w:rPr>
          <w:rStyle w:val="cs7591b9d91"/>
        </w:rPr>
        <w:t xml:space="preserve">руб., </w:t>
      </w:r>
      <w:r>
        <w:rPr>
          <w:rStyle w:val="cs23fb06641"/>
        </w:rPr>
        <w:t xml:space="preserve">износ составляет 82,0%, на ремонт имущества, включая заправку картриджей, в 2018 году потрачено 42943,0 руб. В 2018 году объекты </w:t>
      </w:r>
      <w:r>
        <w:rPr>
          <w:rStyle w:val="cs23fb06641"/>
        </w:rPr>
        <w:lastRenderedPageBreak/>
        <w:t>нефинансовых активов, не соответствующие признакам активов, в сумме 23 532 765,22 руб. переведены на забалсовый уч</w:t>
      </w:r>
      <w:r>
        <w:rPr>
          <w:rStyle w:val="cs23fb06641"/>
        </w:rPr>
        <w:t>ет (счет 02) до моменнта выбытия, в течение 2018 года выбыло материальных ценностей на сумму 23 627,38 руб. Департаментом заключены договоры на предоставление в безвозмездное пользование оборудования муниципальным образованиям и федеральным учреждениям. Пр</w:t>
      </w:r>
      <w:r>
        <w:rPr>
          <w:rStyle w:val="cs23fb06641"/>
        </w:rPr>
        <w:t xml:space="preserve">и первом применении СГС "Аренда" по состоянию на 01.01.2018 доходы от предоставления права пользования активами и по отложенным расходам по упущенной выгоде от предоставления права пользования активами составляют 1538 руб. (справедливая стоимость арендных </w:t>
      </w:r>
      <w:r>
        <w:rPr>
          <w:rStyle w:val="cs23fb06641"/>
        </w:rPr>
        <w:t>платежей- 1 руб. в месяц). Кроме этого во избежание закупок товаров (работ, услуг), имеющих избыточние потребительские свойства или являются предметами роскоши, Департаментом утвержден ведомственный перечень отдельных видов товаров, работ и услуг, в отноше</w:t>
      </w:r>
      <w:r>
        <w:rPr>
          <w:rStyle w:val="cs23fb06641"/>
        </w:rPr>
        <w:t>нии которых устанавливаются потребительские свойства, имеющие влияние на цену. При проведении внутреннего финансового контроля и внутреннего финансового аудита в 2017 году нарушений не выявлено. В 2018 году подведомственным Департаменту учреждениям выделен</w:t>
      </w:r>
      <w:r>
        <w:rPr>
          <w:rStyle w:val="cs23fb06641"/>
        </w:rPr>
        <w:t>ы субсидии на выполнение государственного задания в сумме 312 432 601,99</w:t>
      </w:r>
      <w:r>
        <w:rPr>
          <w:rStyle w:val="cs7591b9d91"/>
        </w:rPr>
        <w:t xml:space="preserve"> руб., субсидии на иные цели в сумме 58 033 506,24 руб., при этом установленные показатели государственных заданий выполнены или перевыполнены.</w:t>
      </w:r>
    </w:p>
    <w:p w:rsidR="00000000" w:rsidRDefault="009A5A04">
      <w:pPr>
        <w:pStyle w:val="cs823a7807"/>
      </w:pPr>
      <w:r>
        <w:rPr>
          <w:rStyle w:val="cs1027841"/>
        </w:rPr>
        <w:t>Раздел 3 "Анализ отчета об исполнении бю</w:t>
      </w:r>
      <w:r>
        <w:rPr>
          <w:rStyle w:val="cs1027841"/>
        </w:rPr>
        <w:t>джета субъектом бюджетной отчетности"</w:t>
      </w:r>
      <w:r>
        <w:rPr>
          <w:rStyle w:val="cs23fb06641"/>
        </w:rPr>
        <w:t xml:space="preserve"> На 2018 год Департаменту, как главному распорядителю бюджетных средств, утверждены бюджетные ассигнования (с учетом изменений) в сумме 552 109 770,39 руб.(причины изменений бюджетной росписи Департамента приведены в та</w:t>
      </w:r>
      <w:r>
        <w:rPr>
          <w:rStyle w:val="cs23fb06641"/>
        </w:rPr>
        <w:t>блице 0503163, кассовое исполнение 546 199 539,12 руб., что составило 98,9%. В соответствии с доведенными бюджетными ассигнованиями Департаментом приняты бюджетные обязательства в сумме 546 319 435,39 руб. (в т.ч. с применением конкурентных способов в сумм</w:t>
      </w:r>
      <w:r>
        <w:rPr>
          <w:rStyle w:val="cs23fb06641"/>
        </w:rPr>
        <w:t xml:space="preserve">е 147614282,11 руб.) и денежные обязательства в сумме 546 199 539,12 руб. Неисполненные бюджетные обязательства в размере 119 896,27 руб.- экономия фонда оплаты труда и страховых взносов. </w:t>
      </w:r>
      <w:r>
        <w:rPr>
          <w:rStyle w:val="cs7591b9d91"/>
        </w:rPr>
        <w:t>В форме 0503128 в гр.4 "Утверждено (доведено) на год бюджетных ассиг</w:t>
      </w:r>
      <w:r>
        <w:rPr>
          <w:rStyle w:val="cs7591b9d91"/>
        </w:rPr>
        <w:t>нований" и гр.5 "Утверждено (доведено) лимитов бюджетных обязательств" раздела 3 "Обязательства финансовых годов, следующих за текущим (отчетным) финансовым годом" указаны бюджетные назначения в соответствии с областным законом от 20.12.2018 № 132-з "Об об</w:t>
      </w:r>
      <w:r>
        <w:rPr>
          <w:rStyle w:val="cs7591b9d91"/>
        </w:rPr>
        <w:t xml:space="preserve">ластном бюджете на 2019 год и на плановый период 2020 и 2021 годов" . В форме 0503164 "Сведения об исполнении бюджета" в разделе "Расходы бюджета" по КБК 835.0113.0610121050 освоение средств областного бюджета составило 77,9%, что связано </w:t>
      </w:r>
      <w:r>
        <w:rPr>
          <w:rStyle w:val="cs23fb06641"/>
        </w:rPr>
        <w:t>с проведением про</w:t>
      </w:r>
      <w:r>
        <w:rPr>
          <w:rStyle w:val="cs23fb06641"/>
        </w:rPr>
        <w:t xml:space="preserve">цедуры расторжения в одностороннем порядке государственного контракта на оказание услуг по сервисной поддержке программного обеспечения «Ароганит МС» и автоматизированного рабочего места «Ароганит СО». </w:t>
      </w:r>
    </w:p>
    <w:p w:rsidR="00000000" w:rsidRDefault="009A5A04">
      <w:pPr>
        <w:pStyle w:val="cs49ab1e92"/>
      </w:pPr>
      <w:r>
        <w:rPr>
          <w:rStyle w:val="cs23fb06641"/>
        </w:rPr>
        <w:t>Бюджетные обязательства, денежные обязательства сверх</w:t>
      </w:r>
      <w:r>
        <w:rPr>
          <w:rStyle w:val="cs23fb06641"/>
        </w:rPr>
        <w:t xml:space="preserve"> утвержденного на финансовый год объема бюджетных ассигнований и (или) лимитов бюджетных обязательств не принимались.</w:t>
      </w:r>
    </w:p>
    <w:p w:rsidR="00000000" w:rsidRDefault="009A5A04">
      <w:pPr>
        <w:pStyle w:val="cs823a7807"/>
      </w:pPr>
      <w:r>
        <w:rPr>
          <w:rStyle w:val="cs53d97ef31"/>
        </w:rPr>
        <w:t>Раздел 4 "Анализ показателей финансовой отчетности субъекта бюджетной отчетности"</w:t>
      </w:r>
      <w:r>
        <w:rPr>
          <w:rStyle w:val="cs7591b9d91"/>
        </w:rPr>
        <w:t xml:space="preserve"> Стоимость имущества, находящегося на балансе Департамент</w:t>
      </w:r>
      <w:r>
        <w:rPr>
          <w:rStyle w:val="cs7591b9d91"/>
        </w:rPr>
        <w:t>а по состоянию на 01.01.2019г.-67563801 руб., в т.ч. основных средств на сумму 62 721 531,0 руб, материалов 4 842 270,00 руб. В течение года поступило основных средств на общую сумму 4 348 251,0руб., в т.ч. приобретено на сумму 4 132 155,0 руб. (из них мод</w:t>
      </w:r>
      <w:r>
        <w:rPr>
          <w:rStyle w:val="cs7591b9d91"/>
        </w:rPr>
        <w:t xml:space="preserve">ернизация на сумму 1 164 150,0руб.), безвозмездно поступило от областных бюджетных учреждений на сумму 216 096,0 руб. (переданная амортизация - 23 634,0 руб.). В течение года выбыло основных средств на сумму 53 035 211,57 руб.,в т.ч. безвозмездно передано </w:t>
      </w:r>
      <w:r>
        <w:rPr>
          <w:rStyle w:val="cs7591b9d91"/>
        </w:rPr>
        <w:t>бюджетному и автономному учреждениям на сумму 26 313 878,35 руб. и органу исполнительной власти на сумму 3 114 098,0 руб.(общая переданная амортизация- 29 385 775,64 руб.), выдано в эксплуатацию со стоимостью до 10000 рублей (на забаланс) на сумму 69 120,0</w:t>
      </w:r>
      <w:r>
        <w:rPr>
          <w:rStyle w:val="cs7591b9d91"/>
        </w:rPr>
        <w:t xml:space="preserve"> руб. На </w:t>
      </w:r>
      <w:r>
        <w:rPr>
          <w:rStyle w:val="cs7591b9d91"/>
        </w:rPr>
        <w:lastRenderedPageBreak/>
        <w:t xml:space="preserve">забалансовом счете 01 отражена передача Департаменту неисключительных прав на использование программных продуктов. На забалансовом счете 10 числятся суммы гарантии, полученных в обеспечение исполнения государственных контрактов, не исполненных по </w:t>
      </w:r>
      <w:r>
        <w:rPr>
          <w:rStyle w:val="cs7591b9d91"/>
        </w:rPr>
        <w:t>состоянию на 01.01.2019. На забалансовом счете 02 числится имущство, не признанное активом по остаточной стоиости, а в случае ее отсутствия в условной оценке 1 шт. 1 руб. На забалансовом счете 21 числятся основные средства в эксплуатации стоимостью до 1000</w:t>
      </w:r>
      <w:r>
        <w:rPr>
          <w:rStyle w:val="cs7591b9d91"/>
        </w:rPr>
        <w:t>0,0 руб., на забалансовом счете 26 числятся объекты основных средств, переданные в безвозмездное пользование муниципальным образованиям Смоленской области и федеральным учреждениям. В форме 0503171 отражена балансовая стоимость особо ценного имущества, зак</w:t>
      </w:r>
      <w:r>
        <w:rPr>
          <w:rStyle w:val="cs7591b9d91"/>
        </w:rPr>
        <w:t>репленного за подведомственными учреждениями в сумме 317 505 821,46 руб. (изменение в сторону увеличения составило 36 432 576,07 руб.). В 2018 году обнаружена и исправлена ошибка прошлого отчетного периода: отнесена на расходы 2017 года стоимость переданны</w:t>
      </w:r>
      <w:r>
        <w:rPr>
          <w:rStyle w:val="cs7591b9d91"/>
        </w:rPr>
        <w:t xml:space="preserve">х неисключительных прав на сумму 850 000,0 руб., а следовало отнести на расходы будущих периодов, что нашло отражение в форме 0503173. </w:t>
      </w:r>
    </w:p>
    <w:p w:rsidR="00000000" w:rsidRDefault="009A5A04">
      <w:pPr>
        <w:pStyle w:val="cs823a7807"/>
      </w:pPr>
      <w:r>
        <w:rPr>
          <w:rStyle w:val="cs23fb06641"/>
        </w:rPr>
        <w:t>В 2018 году в доход бюджета Смоленской области перечислены средства по компенсации затрат прошлых лет: от Фонда социальн</w:t>
      </w:r>
      <w:r>
        <w:rPr>
          <w:rStyle w:val="cs23fb06641"/>
        </w:rPr>
        <w:t>ого страхования 74 799,20 руб., восстановление излишне перечисленной суммы по листку нетрудоспособности 586,28, возврат НДФЛ, излишне уплаченный в 2017 году, а также перерасход за услуги связи прошлых лет в сумме 8134,67 руб.</w:t>
      </w:r>
    </w:p>
    <w:p w:rsidR="00000000" w:rsidRDefault="009A5A04">
      <w:pPr>
        <w:pStyle w:val="cs823a7807"/>
      </w:pPr>
      <w:r>
        <w:rPr>
          <w:rStyle w:val="cs23fb06641"/>
        </w:rPr>
        <w:t xml:space="preserve">В форме 0503169 на 01.01.2019 </w:t>
      </w:r>
      <w:r>
        <w:rPr>
          <w:rStyle w:val="cs23fb06641"/>
        </w:rPr>
        <w:t>по счету 140140000 отражены доходы будущих периодов, начисленные на основании заключенных договоров безвозмездного пользования в сумме 2089,0 руб.; по счету 140160000 начислены резервы по отпускам и страховым взносам в сумме 1 420 493,28 руб., а также резе</w:t>
      </w:r>
      <w:r>
        <w:rPr>
          <w:rStyle w:val="cs23fb06641"/>
        </w:rPr>
        <w:t>рв по обязательству, возникшему в соответствии с поступившей претензией в сумме 62 400,0 руб.</w:t>
      </w:r>
    </w:p>
    <w:p w:rsidR="00000000" w:rsidRDefault="009A5A04">
      <w:pPr>
        <w:pStyle w:val="csd270a203"/>
      </w:pPr>
      <w:r>
        <w:rPr>
          <w:rStyle w:val="cs7591b9d91"/>
        </w:rPr>
        <w:t>В форме 0503171 отражены финансовые вложения Департамента, как получателя бюджетных средств в государственные бюджетные учреждения (особо ценное имущество) в сумм</w:t>
      </w:r>
      <w:r>
        <w:rPr>
          <w:rStyle w:val="cs7591b9d91"/>
        </w:rPr>
        <w:t xml:space="preserve">е 317 505 821,46 руб. </w:t>
      </w:r>
    </w:p>
    <w:p w:rsidR="00000000" w:rsidRDefault="009A5A04">
      <w:pPr>
        <w:pStyle w:val="csd270a203"/>
      </w:pPr>
      <w:r>
        <w:rPr>
          <w:rStyle w:val="cs7591b9d91"/>
        </w:rPr>
        <w:t xml:space="preserve">В форме 0503175 указаны неисполненные принятые бюджетные по заработной плате и начислениям на нее в связи с экономией фонда оплаты труда. </w:t>
      </w:r>
    </w:p>
    <w:p w:rsidR="00000000" w:rsidRDefault="009A5A04">
      <w:pPr>
        <w:pStyle w:val="csd270a203"/>
      </w:pPr>
      <w:r>
        <w:rPr>
          <w:rStyle w:val="cs7591b9d91"/>
        </w:rPr>
        <w:t>В форме 0503178 отражен остаток средств на лицевом счете, открытом в финансовом органе Смоленс</w:t>
      </w:r>
      <w:r>
        <w:rPr>
          <w:rStyle w:val="cs7591b9d91"/>
        </w:rPr>
        <w:t>кой области Департаменту для учета средств во временном</w:t>
      </w:r>
      <w:r>
        <w:rPr>
          <w:rStyle w:val="cs23fb06641"/>
        </w:rPr>
        <w:t xml:space="preserve"> распоряжении по состоянию на 01.01.2019 г. в сумме 4 209 529,87 руб. - обеспечение исполнения государственных контрактов.</w:t>
      </w:r>
    </w:p>
    <w:p w:rsidR="00000000" w:rsidRDefault="009A5A04">
      <w:pPr>
        <w:pStyle w:val="csd270a203"/>
      </w:pPr>
      <w:r>
        <w:rPr>
          <w:rStyle w:val="cs23fb06641"/>
        </w:rPr>
        <w:t xml:space="preserve">В форме 0503128 в р.3 по стр. 911 отражен резерв отпусков и </w:t>
      </w:r>
      <w:r>
        <w:rPr>
          <w:rStyle w:val="cs7591b9d91"/>
        </w:rPr>
        <w:t>отложенные обязате</w:t>
      </w:r>
      <w:r>
        <w:rPr>
          <w:rStyle w:val="cs7591b9d91"/>
        </w:rPr>
        <w:t xml:space="preserve">льства по претензионным требованиям (досудебный порядок). </w:t>
      </w:r>
    </w:p>
    <w:p w:rsidR="00000000" w:rsidRDefault="009A5A04">
      <w:pPr>
        <w:pStyle w:val="csd270a203"/>
      </w:pPr>
      <w:r>
        <w:rPr>
          <w:rStyle w:val="cs7591b9d91"/>
        </w:rPr>
        <w:t xml:space="preserve">В форме </w:t>
      </w:r>
      <w:r>
        <w:rPr>
          <w:rStyle w:val="cs23fb06641"/>
        </w:rPr>
        <w:t xml:space="preserve">0503110 не </w:t>
      </w:r>
      <w:bookmarkStart w:id="1" w:name="_dx_frag_StartFragment"/>
      <w:bookmarkStart w:id="2" w:name="3360892RU1076254"/>
      <w:bookmarkEnd w:id="1"/>
      <w:r>
        <w:rPr>
          <w:rStyle w:val="cs23fb06641"/>
        </w:rPr>
        <w:t xml:space="preserve">детализированы ЦСР </w:t>
      </w:r>
      <w:bookmarkEnd w:id="2"/>
      <w:r>
        <w:rPr>
          <w:rStyle w:val="cs23fb06641"/>
        </w:rPr>
        <w:t>по счету 00001130000000000244140120226 и 00004100000000000244140120226 в связи стем, что по дебету этих счетов списывались расходы будущих периодов по приобрет</w:t>
      </w:r>
      <w:r>
        <w:rPr>
          <w:rStyle w:val="cs23fb06641"/>
        </w:rPr>
        <w:t xml:space="preserve">енным в прошлых годах неисключительным правам (недействующая в 2018 году классификация). </w:t>
      </w:r>
    </w:p>
    <w:p w:rsidR="00000000" w:rsidRDefault="009A5A04">
      <w:pPr>
        <w:pStyle w:val="csd270a203"/>
      </w:pPr>
      <w:r>
        <w:rPr>
          <w:rStyle w:val="cs23fb06641"/>
        </w:rPr>
        <w:t>В форме 0503127 в разделе 1 "Доходы бюджета" по КБК 11302992020001130 отражено восстановление кассовых расходов прошлых лет (услуги связи и задолженность Фонда социал</w:t>
      </w:r>
      <w:r>
        <w:rPr>
          <w:rStyle w:val="cs23fb06641"/>
        </w:rPr>
        <w:t>ьного страхования) в сумме 18946,51руб.</w:t>
      </w:r>
    </w:p>
    <w:p w:rsidR="00000000" w:rsidRDefault="009A5A04">
      <w:pPr>
        <w:pStyle w:val="csd270a203"/>
      </w:pPr>
      <w:r>
        <w:rPr>
          <w:rStyle w:val="cs23fb06641"/>
        </w:rPr>
        <w:t>В форме 0503110 по счету 20702000020000180140110189 отражено безвозмездное поступление нефинансовых активов от СОГБУ МФЦ</w:t>
      </w:r>
    </w:p>
    <w:tbl>
      <w:tblPr>
        <w:tblW w:w="0" w:type="auto"/>
        <w:tblInd w:w="-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4"/>
        <w:gridCol w:w="3854"/>
        <w:gridCol w:w="2124"/>
      </w:tblGrid>
      <w:tr w:rsidR="00000000">
        <w:tc>
          <w:tcPr>
            <w:tcW w:w="35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0000" w:rsidRDefault="009A5A04">
            <w:pPr>
              <w:pStyle w:val="cs2a4a7cb2"/>
            </w:pPr>
            <w:r>
              <w:rPr>
                <w:rStyle w:val="cs23fb06641"/>
              </w:rPr>
              <w:t>Корреспондирующий счет</w:t>
            </w:r>
          </w:p>
        </w:tc>
        <w:tc>
          <w:tcPr>
            <w:tcW w:w="63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0000" w:rsidRDefault="009A5A04">
            <w:pPr>
              <w:pStyle w:val="cs2a4a7cb2"/>
            </w:pPr>
            <w:r>
              <w:rPr>
                <w:rStyle w:val="cs23fb06641"/>
              </w:rPr>
              <w:t>Код счета бюджетного учета</w:t>
            </w:r>
          </w:p>
        </w:tc>
      </w:tr>
      <w:tr w:rsidR="00000000">
        <w:trPr>
          <w:trHeight w:val="6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00000" w:rsidRDefault="009A5A04"/>
        </w:tc>
        <w:tc>
          <w:tcPr>
            <w:tcW w:w="4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0000" w:rsidRDefault="009A5A04">
            <w:pPr>
              <w:pStyle w:val="cs2a4a7cb2"/>
            </w:pPr>
            <w:r>
              <w:rPr>
                <w:rStyle w:val="cs23fb06641"/>
              </w:rPr>
              <w:t>1 401 10 171 (1 401 10 173, 1 401 10 189, 1 401 20 273)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0000" w:rsidRDefault="009A5A04">
            <w:pPr>
              <w:pStyle w:val="cs2a4a7cb2"/>
            </w:pPr>
            <w:r>
              <w:rPr>
                <w:rStyle w:val="cs23fb06641"/>
              </w:rPr>
              <w:t>причина</w:t>
            </w:r>
          </w:p>
        </w:tc>
      </w:tr>
      <w:tr w:rsidR="00000000"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0000" w:rsidRDefault="009A5A04">
            <w:pPr>
              <w:pStyle w:val="cs2a4a7cb2"/>
            </w:pPr>
            <w:r>
              <w:rPr>
                <w:rStyle w:val="cs23fb06641"/>
              </w:rPr>
              <w:lastRenderedPageBreak/>
              <w:t>1</w:t>
            </w:r>
          </w:p>
        </w:tc>
        <w:tc>
          <w:tcPr>
            <w:tcW w:w="4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0000" w:rsidRDefault="009A5A04">
            <w:pPr>
              <w:pStyle w:val="cs2a4a7cb2"/>
            </w:pPr>
            <w:r>
              <w:rPr>
                <w:rStyle w:val="cs23fb06641"/>
              </w:rPr>
              <w:t>2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0000" w:rsidRDefault="009A5A04">
            <w:pPr>
              <w:pStyle w:val="cs2a4a7cb2"/>
            </w:pPr>
            <w:r>
              <w:rPr>
                <w:rStyle w:val="cs23fb06641"/>
              </w:rPr>
              <w:t>3</w:t>
            </w:r>
          </w:p>
        </w:tc>
      </w:tr>
      <w:tr w:rsidR="00000000"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0000" w:rsidRDefault="009A5A04">
            <w:pPr>
              <w:pStyle w:val="cs8b79bbd8"/>
            </w:pPr>
            <w:r>
              <w:rPr>
                <w:rStyle w:val="cs23fb06641"/>
              </w:rPr>
              <w:t>Нефинансовые активы, всего,</w:t>
            </w:r>
          </w:p>
          <w:p w:rsidR="00000000" w:rsidRDefault="009A5A04">
            <w:pPr>
              <w:pStyle w:val="cs2654ae3a"/>
            </w:pPr>
            <w:r>
              <w:rPr>
                <w:rStyle w:val="cs23fb06641"/>
              </w:rPr>
              <w:t>в том числе по счетам</w:t>
            </w:r>
          </w:p>
        </w:tc>
        <w:tc>
          <w:tcPr>
            <w:tcW w:w="4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0000" w:rsidRDefault="009A5A04">
            <w:pPr>
              <w:pStyle w:val="cs2654ae3a"/>
            </w:pPr>
            <w:r>
              <w:rPr>
                <w:rStyle w:val="csc8f6d761"/>
              </w:rPr>
              <w:t> 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0000" w:rsidRDefault="009A5A04">
            <w:pPr>
              <w:pStyle w:val="cs2654ae3a"/>
            </w:pPr>
            <w:r>
              <w:rPr>
                <w:rStyle w:val="csc8f6d761"/>
              </w:rPr>
              <w:t> </w:t>
            </w:r>
          </w:p>
        </w:tc>
      </w:tr>
      <w:tr w:rsidR="00000000"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0000" w:rsidRDefault="009A5A04">
            <w:pPr>
              <w:pStyle w:val="cs2654ae3a"/>
            </w:pPr>
            <w:r>
              <w:rPr>
                <w:rStyle w:val="cs23fb06641"/>
              </w:rPr>
              <w:t>110100000</w:t>
            </w:r>
          </w:p>
        </w:tc>
        <w:tc>
          <w:tcPr>
            <w:tcW w:w="4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0000" w:rsidRDefault="009A5A04">
            <w:pPr>
              <w:pStyle w:val="cs2654ae3a"/>
            </w:pPr>
            <w:r>
              <w:rPr>
                <w:rStyle w:val="cs23fb06641"/>
              </w:rPr>
              <w:t>73 461,60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0000" w:rsidRDefault="009A5A04">
            <w:pPr>
              <w:pStyle w:val="cs2654ae3a"/>
            </w:pPr>
            <w:r>
              <w:rPr>
                <w:rStyle w:val="cs23fb06641"/>
              </w:rPr>
              <w:t>безвозмездное поступление</w:t>
            </w:r>
          </w:p>
        </w:tc>
      </w:tr>
      <w:tr w:rsidR="00000000">
        <w:tc>
          <w:tcPr>
            <w:tcW w:w="3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0000" w:rsidRDefault="009A5A04">
            <w:pPr>
              <w:pStyle w:val="cs2654ae3a"/>
            </w:pPr>
            <w:r>
              <w:rPr>
                <w:rStyle w:val="cs23fb06641"/>
              </w:rPr>
              <w:t>110500000</w:t>
            </w:r>
          </w:p>
        </w:tc>
        <w:tc>
          <w:tcPr>
            <w:tcW w:w="4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0000" w:rsidRDefault="009A5A04">
            <w:pPr>
              <w:pStyle w:val="cs2654ae3a"/>
            </w:pPr>
            <w:r>
              <w:rPr>
                <w:rStyle w:val="cs23fb06641"/>
              </w:rPr>
              <w:t>5830,00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0000" w:rsidRDefault="009A5A04">
            <w:pPr>
              <w:pStyle w:val="cs2654ae3a"/>
            </w:pPr>
            <w:r>
              <w:rPr>
                <w:rStyle w:val="csc8f6d761"/>
              </w:rPr>
              <w:t> </w:t>
            </w:r>
          </w:p>
        </w:tc>
      </w:tr>
    </w:tbl>
    <w:p w:rsidR="00000000" w:rsidRDefault="009A5A04">
      <w:pPr>
        <w:pStyle w:val="csd270a203"/>
      </w:pPr>
      <w:r>
        <w:rPr>
          <w:rStyle w:val="cs53d97ef31"/>
        </w:rPr>
        <w:t>По состоянию на 01.01.2019г. кредиторская задолженность</w:t>
      </w:r>
      <w:r>
        <w:rPr>
          <w:rStyle w:val="cs7591b9d91"/>
        </w:rPr>
        <w:t xml:space="preserve"> </w:t>
      </w:r>
      <w:r>
        <w:rPr>
          <w:rStyle w:val="cs7591b9d91"/>
        </w:rPr>
        <w:t>составила 1 620 763,89 руб., в т.ч. по счету 1 302 00 000: по оплате услуг связи за декабрь 2018г.- 1 572 725,26 руб., по оплате услуг по предоставлению в пользование телефонной канализации и оборудования в декабре 2018 г.- 1 246,08 руб., услуги по обновле</w:t>
      </w:r>
      <w:r>
        <w:rPr>
          <w:rStyle w:val="cs7591b9d91"/>
        </w:rPr>
        <w:t>нию и сопровождению системы типовых сайтов 16 129,03 руб., по оплате услуг по настройке и техобслуживанию защищенного канала связи 2516,0 руб., по оплате услуг за пользование оборудованием 1404,20 руб. по оплате комплекса услуг по обеспечению функционирова</w:t>
      </w:r>
      <w:r>
        <w:rPr>
          <w:rStyle w:val="cs7591b9d91"/>
        </w:rPr>
        <w:t xml:space="preserve">ния оборудования - 876,32 руб., предоставление места в кабельной канализации 1246,08 руб., По счету 1 303 00 000: ззадолженность по оплате налога на имущество за 4 квартал 2018г. составила 25 867,00 руб. </w:t>
      </w:r>
      <w:r>
        <w:rPr>
          <w:rStyle w:val="cs53d97ef31"/>
        </w:rPr>
        <w:t>По состоянию на 01.01.2019 дебиторская задолженность</w:t>
      </w:r>
      <w:r>
        <w:rPr>
          <w:rStyle w:val="cs7591b9d91"/>
        </w:rPr>
        <w:t xml:space="preserve"> составила 2 585 268,72 руб., в том числе 10 646,79 руб.- подписка на периодические издания ООО "Урал-пресс Запад", 1225,0 руб.- знаки денежной оплаты (марки), находящиеся у подотчетного лица, дебиторская задолженность по субсидиям на иные цели, перечислен</w:t>
      </w:r>
      <w:r>
        <w:rPr>
          <w:rStyle w:val="cs7591b9d91"/>
        </w:rPr>
        <w:t>ным бюджетным учреждениям, подведомственным Департаменту в размере, не подтвержденном в отчете об использовании субсидии - 2 573 390,83 руб.</w:t>
      </w:r>
    </w:p>
    <w:p w:rsidR="00000000" w:rsidRDefault="009A5A04">
      <w:pPr>
        <w:pStyle w:val="cs823a7807"/>
      </w:pPr>
      <w:r>
        <w:rPr>
          <w:rStyle w:val="cs53d97ef31"/>
        </w:rPr>
        <w:t>Раздел 5 "Прочие вопросы деятельности субъекта бюджетной отчетности"</w:t>
      </w:r>
      <w:r>
        <w:rPr>
          <w:rStyle w:val="cs7591b9d91"/>
        </w:rPr>
        <w:t xml:space="preserve"> Бюджетный учет Департамента осуществляется в с</w:t>
      </w:r>
      <w:r>
        <w:rPr>
          <w:rStyle w:val="cs7591b9d91"/>
        </w:rPr>
        <w:t xml:space="preserve">оответствии с приказом Минфина РФ от 01.12.2010 №157н и от 06.12.2010 №162н. Особенности ведения бюджетного учета в Департаменте представлены в таблице 4, в том числе по счету 1 401 50 000 "Расходы будущих периодов" отражается резерв предстоящих расходов, </w:t>
      </w:r>
      <w:r>
        <w:rPr>
          <w:rStyle w:val="cs7591b9d91"/>
        </w:rPr>
        <w:t>свзязанный с приобретением неисключительных прав пользования нематериальными активами в течение нескольких отчетных периодов; по счету 1 401 60 000 "Резервы предстоящих расходов" отражается резерв на оплату отпусков за фактически отработанное время, включа</w:t>
      </w:r>
      <w:r>
        <w:rPr>
          <w:rStyle w:val="cs7591b9d91"/>
        </w:rPr>
        <w:t>я страховые взносы., а также отложенные обязательства по претензионным требованиям (досудебный порядок).</w:t>
      </w:r>
    </w:p>
    <w:p w:rsidR="00000000" w:rsidRDefault="009A5A04">
      <w:pPr>
        <w:pStyle w:val="cs823a7807"/>
      </w:pPr>
      <w:r>
        <w:rPr>
          <w:rStyle w:val="cs7591b9d91"/>
        </w:rPr>
        <w:t>В соответствии с приказом начальника Департамента от 21.12.18 № 0065 проведена инвентаризация, расхождений не выявлено.</w:t>
      </w:r>
    </w:p>
    <w:p w:rsidR="00000000" w:rsidRDefault="009A5A04">
      <w:pPr>
        <w:pStyle w:val="cs823a7807"/>
      </w:pPr>
      <w:r>
        <w:rPr>
          <w:rStyle w:val="cs7591b9d91"/>
        </w:rPr>
        <w:t>В форме 0503296 отражены взыска</w:t>
      </w:r>
      <w:r>
        <w:rPr>
          <w:rStyle w:val="cs7591b9d91"/>
        </w:rPr>
        <w:t>ния государственной пошлины на основании решения суда. По состоянию на 01.01.2019 задолженность по исполнительным документам отсутствует.</w:t>
      </w:r>
    </w:p>
    <w:p w:rsidR="00000000" w:rsidRDefault="009A5A04">
      <w:pPr>
        <w:pStyle w:val="cs823a7807"/>
      </w:pPr>
      <w:r>
        <w:rPr>
          <w:rStyle w:val="cs7591b9d91"/>
        </w:rPr>
        <w:t>Отсутствуют показатели в следующих формах отчетов: Таблица 3 "Сведения об исполнении текстовых статей закона (ф.050316</w:t>
      </w:r>
      <w:r>
        <w:rPr>
          <w:rStyle w:val="cs7591b9d91"/>
        </w:rPr>
        <w:t>0_т3), Таблица 5 "Сведения о результатах мероприятий внутреннего контроля (ф.0503160_т5), Таблица 7 "Сведения о результатах внешнего государственного (муниципального) контроля" (ф.0503160_т7), Сведения о целевых иностранных кредитах (ф.0503167); Сведения о</w:t>
      </w:r>
      <w:r>
        <w:rPr>
          <w:rStyle w:val="cs7591b9d91"/>
        </w:rPr>
        <w:t xml:space="preserve"> результатах деятельности (ф.0503163); Сведения об объектах незавершенного строительства, вложения в объекты недвижимого имущества (ф.0503190); Сведения о доходах бюджета от перечисления части прибыли (дивидендов) государственных (муниципальных) унитарных </w:t>
      </w:r>
      <w:r>
        <w:rPr>
          <w:rStyle w:val="cs7591b9d91"/>
        </w:rPr>
        <w:t>предприятий, иных организаций с государственным участием в капитале (ф.0503174); форма 0503125 по коду счетов 120651000, 130111000,130111710, 130111810.</w:t>
      </w:r>
    </w:p>
    <w:tbl>
      <w:tblPr>
        <w:tblW w:w="9390" w:type="dxa"/>
        <w:tblInd w:w="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2040"/>
        <w:gridCol w:w="3780"/>
      </w:tblGrid>
      <w:tr w:rsidR="00000000"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9A5A04">
            <w:pPr>
              <w:pStyle w:val="cs2654ae3a"/>
            </w:pPr>
            <w:r>
              <w:rPr>
                <w:rStyle w:val="cs79da67e21"/>
              </w:rPr>
              <w:lastRenderedPageBreak/>
              <w:t>Руководитель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9A5A04">
            <w:pPr>
              <w:pStyle w:val="cs2a4a7cb2"/>
            </w:pPr>
            <w:r>
              <w:rPr>
                <w:rStyle w:val="cs79da67e21"/>
              </w:rPr>
              <w:t>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9A5A04">
            <w:pPr>
              <w:pStyle w:val="cs2a4a7cb2"/>
            </w:pPr>
            <w:r>
              <w:rPr>
                <w:rStyle w:val="cs836eca4b1"/>
              </w:rPr>
              <w:t>Рудометкин А.Н.</w:t>
            </w:r>
          </w:p>
        </w:tc>
      </w:tr>
      <w:tr w:rsidR="00000000">
        <w:trPr>
          <w:trHeight w:val="28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9A5A04">
            <w:pPr>
              <w:pStyle w:val="cs2a4a7cb2"/>
            </w:pPr>
            <w:r>
              <w:rPr>
                <w:rStyle w:val="cs79da67e21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9A5A04">
            <w:pPr>
              <w:pStyle w:val="cs2a4a7cb2"/>
            </w:pPr>
            <w:r>
              <w:rPr>
                <w:rStyle w:val="cs79da67e21"/>
              </w:rPr>
              <w:t>(расшифровка подписи)</w:t>
            </w:r>
          </w:p>
        </w:tc>
      </w:tr>
      <w:tr w:rsidR="00000000">
        <w:trPr>
          <w:trHeight w:val="281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</w:tr>
      <w:tr w:rsidR="00000000">
        <w:trPr>
          <w:trHeight w:val="281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9A5A04">
            <w:pPr>
              <w:pStyle w:val="cs2654ae3a"/>
            </w:pPr>
            <w:r>
              <w:rPr>
                <w:rStyle w:val="cs79da67e21"/>
              </w:rPr>
              <w:t>Руководитель планово-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9A5A04">
            <w:pPr>
              <w:pStyle w:val="cs2a4a7cb2"/>
            </w:pPr>
            <w:r>
              <w:rPr>
                <w:rStyle w:val="cs79da67e21"/>
              </w:rPr>
              <w:t>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</w:tr>
      <w:tr w:rsidR="00000000">
        <w:trPr>
          <w:trHeight w:val="281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9A5A04">
            <w:pPr>
              <w:pStyle w:val="cs2654ae3a"/>
            </w:pPr>
            <w:r>
              <w:rPr>
                <w:rStyle w:val="cs79da67e21"/>
              </w:rPr>
              <w:t>экономической службы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9A5A04">
            <w:pPr>
              <w:pStyle w:val="cs2a4a7cb2"/>
            </w:pPr>
            <w:r>
              <w:rPr>
                <w:rStyle w:val="cs79da67e21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9A5A04">
            <w:pPr>
              <w:pStyle w:val="cs2a4a7cb2"/>
            </w:pPr>
            <w:r>
              <w:rPr>
                <w:rStyle w:val="cs79da67e21"/>
              </w:rPr>
              <w:t>(расшифровка подписи)</w:t>
            </w:r>
          </w:p>
        </w:tc>
      </w:tr>
      <w:tr w:rsidR="00000000">
        <w:trPr>
          <w:trHeight w:val="281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</w:tr>
      <w:tr w:rsidR="00000000">
        <w:trPr>
          <w:trHeight w:val="281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9A5A04">
            <w:pPr>
              <w:pStyle w:val="cs2654ae3a"/>
            </w:pPr>
            <w:r>
              <w:rPr>
                <w:rStyle w:val="cs79da67e21"/>
              </w:rPr>
              <w:t>Главный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9A5A04">
            <w:pPr>
              <w:pStyle w:val="cs2a4a7cb2"/>
            </w:pPr>
            <w:r>
              <w:rPr>
                <w:rStyle w:val="cs79da67e21"/>
              </w:rPr>
              <w:t>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0000" w:rsidRDefault="009A5A04">
            <w:pPr>
              <w:pStyle w:val="cs2a4a7cb2"/>
            </w:pPr>
            <w:r>
              <w:rPr>
                <w:rStyle w:val="cs836eca4b1"/>
              </w:rPr>
              <w:t>Степченкова Т.И.</w:t>
            </w:r>
          </w:p>
        </w:tc>
      </w:tr>
      <w:tr w:rsidR="00000000">
        <w:trPr>
          <w:trHeight w:val="281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9A5A04">
            <w:pPr>
              <w:pStyle w:val="cs2654ae3a"/>
            </w:pPr>
            <w:r>
              <w:rPr>
                <w:rStyle w:val="cs79da67e21"/>
              </w:rPr>
              <w:t>бухгалтер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9A5A04">
            <w:pPr>
              <w:pStyle w:val="cs2a4a7cb2"/>
            </w:pPr>
            <w:r>
              <w:rPr>
                <w:rStyle w:val="cs79da67e21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9A5A04">
            <w:pPr>
              <w:pStyle w:val="cs2a4a7cb2"/>
            </w:pPr>
            <w:r>
              <w:rPr>
                <w:rStyle w:val="cs79da67e21"/>
              </w:rPr>
              <w:t>(расшифровка подписи)</w:t>
            </w:r>
          </w:p>
        </w:tc>
      </w:tr>
      <w:tr w:rsidR="00000000">
        <w:trPr>
          <w:trHeight w:val="449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9A5A04">
            <w:pPr>
              <w:pStyle w:val="cs2654ae3a"/>
            </w:pPr>
            <w:r>
              <w:rPr>
                <w:rStyle w:val="cs79da67e21"/>
              </w:rPr>
              <w:t>"____" ____________ 20____г.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Default="009A5A04">
            <w:pPr>
              <w:pStyle w:val="cs2654ae3a"/>
            </w:pPr>
            <w:r>
              <w:rPr>
                <w:rStyle w:val="csdaae5f71"/>
              </w:rPr>
              <w:t> </w:t>
            </w:r>
          </w:p>
        </w:tc>
      </w:tr>
    </w:tbl>
    <w:p w:rsidR="009A5A04" w:rsidRDefault="009A5A04">
      <w:pPr>
        <w:pStyle w:val="cs2654ae3a"/>
      </w:pPr>
      <w:r>
        <w:rPr>
          <w:rStyle w:val="cs23fb06641"/>
        </w:rPr>
        <w:t>Документ подписан электронной подписью</w:t>
      </w:r>
      <w:r>
        <w:rPr>
          <w:color w:val="000000"/>
        </w:rPr>
        <w:br/>
      </w:r>
      <w:r>
        <w:rPr>
          <w:rStyle w:val="cs23fb06641"/>
        </w:rPr>
        <w:t xml:space="preserve">Главный бухгалтер(Степченкова Татьяна Ивановна),Руководитель(Щербакова Татьяна Олеговна) </w:t>
      </w:r>
    </w:p>
    <w:sectPr w:rsidR="009A5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0B34F0"/>
    <w:rsid w:val="000B34F0"/>
    <w:rsid w:val="009A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2A1179-C107-42A8-9378-E56C30F87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s20addc57">
    <w:name w:val="cs20addc57"/>
    <w:basedOn w:val="a"/>
    <w:pPr>
      <w:spacing w:before="100" w:beforeAutospacing="1" w:after="100" w:afterAutospacing="1"/>
      <w:ind w:left="93"/>
    </w:pPr>
  </w:style>
  <w:style w:type="paragraph" w:customStyle="1" w:styleId="csdea04ccb">
    <w:name w:val="csdea04ccb"/>
    <w:basedOn w:val="a"/>
    <w:pPr>
      <w:spacing w:before="100" w:beforeAutospacing="1" w:after="100" w:afterAutospacing="1"/>
    </w:pPr>
  </w:style>
  <w:style w:type="paragraph" w:customStyle="1" w:styleId="cs2a4a7cb2">
    <w:name w:val="cs2a4a7cb2"/>
    <w:basedOn w:val="a"/>
    <w:pPr>
      <w:jc w:val="center"/>
    </w:pPr>
  </w:style>
  <w:style w:type="paragraph" w:customStyle="1" w:styleId="cs1ba52a26">
    <w:name w:val="cs1ba52a26"/>
    <w:basedOn w:val="a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cs919aff18">
    <w:name w:val="cs919aff18"/>
    <w:basedOn w:val="a"/>
    <w:pPr>
      <w:spacing w:before="100" w:beforeAutospacing="1" w:after="100" w:afterAutospacing="1"/>
    </w:pPr>
  </w:style>
  <w:style w:type="paragraph" w:customStyle="1" w:styleId="cs2654ae3a">
    <w:name w:val="cs2654ae3a"/>
    <w:basedOn w:val="a"/>
  </w:style>
  <w:style w:type="paragraph" w:customStyle="1" w:styleId="csdaae5f7">
    <w:name w:val="csdaae5f7"/>
    <w:basedOn w:val="a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cs278cd679">
    <w:name w:val="cs278cd679"/>
    <w:basedOn w:val="a"/>
    <w:pPr>
      <w:spacing w:before="100" w:beforeAutospacing="1" w:after="100" w:afterAutospacing="1"/>
    </w:pPr>
  </w:style>
  <w:style w:type="paragraph" w:customStyle="1" w:styleId="csd691eb1b">
    <w:name w:val="csd691eb1b"/>
    <w:basedOn w:val="a"/>
    <w:pPr>
      <w:spacing w:before="100" w:beforeAutospacing="1" w:after="100" w:afterAutospacing="1"/>
    </w:pPr>
  </w:style>
  <w:style w:type="paragraph" w:customStyle="1" w:styleId="cs7a9848a3">
    <w:name w:val="cs7a9848a3"/>
    <w:basedOn w:val="a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b5073c15">
    <w:name w:val="csb5073c15"/>
    <w:basedOn w:val="a"/>
    <w:pPr>
      <w:spacing w:before="100" w:beforeAutospacing="1" w:after="100" w:afterAutospacing="1"/>
    </w:pPr>
    <w:rPr>
      <w:rFonts w:ascii="Courier New" w:hAnsi="Courier New" w:cs="Courier New"/>
      <w:b/>
      <w:bCs/>
      <w:color w:val="000000"/>
      <w:sz w:val="16"/>
      <w:szCs w:val="16"/>
    </w:rPr>
  </w:style>
  <w:style w:type="paragraph" w:customStyle="1" w:styleId="cs560850c6">
    <w:name w:val="cs560850c6"/>
    <w:basedOn w:val="a"/>
    <w:pPr>
      <w:spacing w:before="100" w:beforeAutospacing="1" w:after="100" w:afterAutospacing="1"/>
    </w:pPr>
  </w:style>
  <w:style w:type="paragraph" w:customStyle="1" w:styleId="cs7c1f8b9d">
    <w:name w:val="cs7c1f8b9d"/>
    <w:basedOn w:val="a"/>
    <w:pPr>
      <w:jc w:val="right"/>
    </w:pPr>
  </w:style>
  <w:style w:type="paragraph" w:customStyle="1" w:styleId="csc482a400">
    <w:name w:val="csc482a400"/>
    <w:basedOn w:val="a"/>
    <w:pPr>
      <w:pBdr>
        <w:left w:val="single" w:sz="8" w:space="5" w:color="000000"/>
        <w:bottom w:val="single" w:sz="8" w:space="0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5ace105b">
    <w:name w:val="cs5ace105b"/>
    <w:basedOn w:val="a"/>
    <w:pPr>
      <w:spacing w:before="100" w:beforeAutospacing="1" w:after="100" w:afterAutospacing="1"/>
    </w:pPr>
    <w:rPr>
      <w:rFonts w:ascii="Courier New" w:hAnsi="Courier New" w:cs="Courier New"/>
      <w:color w:val="000000"/>
      <w:sz w:val="16"/>
      <w:szCs w:val="16"/>
    </w:rPr>
  </w:style>
  <w:style w:type="paragraph" w:customStyle="1" w:styleId="cs46a4ba77">
    <w:name w:val="cs46a4ba77"/>
    <w:basedOn w:val="a"/>
    <w:pPr>
      <w:pBdr>
        <w:left w:val="single" w:sz="8" w:space="5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430a9416">
    <w:name w:val="cs430a9416"/>
    <w:basedOn w:val="a"/>
  </w:style>
  <w:style w:type="paragraph" w:customStyle="1" w:styleId="csa33de675">
    <w:name w:val="csa33de675"/>
    <w:basedOn w:val="a"/>
    <w:pPr>
      <w:spacing w:before="100" w:beforeAutospacing="1" w:after="100" w:afterAutospacing="1"/>
    </w:pPr>
    <w:rPr>
      <w:rFonts w:ascii="Calibri" w:hAnsi="Calibri"/>
      <w:color w:val="000000"/>
      <w:sz w:val="20"/>
      <w:szCs w:val="20"/>
    </w:rPr>
  </w:style>
  <w:style w:type="paragraph" w:customStyle="1" w:styleId="cscdf190b1">
    <w:name w:val="cscdf190b1"/>
    <w:basedOn w:val="a"/>
    <w:pPr>
      <w:jc w:val="right"/>
    </w:pPr>
  </w:style>
  <w:style w:type="paragraph" w:customStyle="1" w:styleId="csc0f5598e">
    <w:name w:val="csc0f5598e"/>
    <w:basedOn w:val="a"/>
    <w:pPr>
      <w:jc w:val="center"/>
    </w:pPr>
  </w:style>
  <w:style w:type="paragraph" w:customStyle="1" w:styleId="csdba5a960">
    <w:name w:val="csdba5a960"/>
    <w:basedOn w:val="a"/>
    <w:pPr>
      <w:pBdr>
        <w:top w:val="single" w:sz="8" w:space="0" w:color="000000"/>
        <w:left w:val="single" w:sz="8" w:space="5" w:color="000000"/>
        <w:right w:val="single" w:sz="8" w:space="5" w:color="000000"/>
      </w:pBdr>
      <w:spacing w:before="100" w:beforeAutospacing="1" w:after="100" w:afterAutospacing="1"/>
    </w:pPr>
  </w:style>
  <w:style w:type="paragraph" w:customStyle="1" w:styleId="csf290b484">
    <w:name w:val="csf290b484"/>
    <w:basedOn w:val="a"/>
    <w:pPr>
      <w:spacing w:before="100" w:beforeAutospacing="1" w:after="100" w:afterAutospacing="1"/>
    </w:pPr>
    <w:rPr>
      <w:rFonts w:ascii="Courier New" w:hAnsi="Courier New" w:cs="Courier New"/>
      <w:b/>
      <w:bCs/>
      <w:color w:val="000000"/>
      <w:sz w:val="16"/>
      <w:szCs w:val="16"/>
      <w:u w:val="single"/>
    </w:rPr>
  </w:style>
  <w:style w:type="paragraph" w:customStyle="1" w:styleId="cse6f24a67">
    <w:name w:val="cse6f24a67"/>
    <w:basedOn w:val="a"/>
    <w:pPr>
      <w:spacing w:before="100" w:beforeAutospacing="1" w:after="100" w:afterAutospacing="1"/>
    </w:pPr>
    <w:rPr>
      <w:rFonts w:ascii="Courier New" w:hAnsi="Courier New" w:cs="Courier New"/>
      <w:color w:val="000000"/>
      <w:sz w:val="15"/>
      <w:szCs w:val="15"/>
    </w:rPr>
  </w:style>
  <w:style w:type="paragraph" w:customStyle="1" w:styleId="csbbdd4ae1">
    <w:name w:val="csbbdd4ae1"/>
    <w:basedOn w:val="a"/>
    <w:pPr>
      <w:spacing w:before="100" w:beforeAutospacing="1" w:after="100" w:afterAutospacing="1"/>
      <w:jc w:val="right"/>
    </w:pPr>
  </w:style>
  <w:style w:type="paragraph" w:customStyle="1" w:styleId="cs823a7807">
    <w:name w:val="cs823a7807"/>
    <w:basedOn w:val="a"/>
    <w:pPr>
      <w:spacing w:before="240" w:after="240"/>
      <w:jc w:val="both"/>
    </w:pPr>
  </w:style>
  <w:style w:type="paragraph" w:customStyle="1" w:styleId="cs102784">
    <w:name w:val="cs102784"/>
    <w:basedOn w:val="a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cs23fb0664">
    <w:name w:val="cs23fb0664"/>
    <w:basedOn w:val="a"/>
    <w:pPr>
      <w:spacing w:before="100" w:beforeAutospacing="1" w:after="100" w:afterAutospacing="1"/>
    </w:pPr>
    <w:rPr>
      <w:color w:val="000000"/>
    </w:rPr>
  </w:style>
  <w:style w:type="paragraph" w:customStyle="1" w:styleId="cs7591b9d9">
    <w:name w:val="cs7591b9d9"/>
    <w:basedOn w:val="a"/>
    <w:pP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cs49ab1e92">
    <w:name w:val="cs49ab1e92"/>
    <w:basedOn w:val="a"/>
    <w:pPr>
      <w:ind w:firstLine="540"/>
      <w:jc w:val="both"/>
    </w:pPr>
  </w:style>
  <w:style w:type="paragraph" w:customStyle="1" w:styleId="cs53d97ef3">
    <w:name w:val="cs53d97ef3"/>
    <w:basedOn w:val="a"/>
    <w:pPr>
      <w:shd w:val="clear" w:color="auto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csd270a203">
    <w:name w:val="csd270a203"/>
    <w:basedOn w:val="a"/>
    <w:pPr>
      <w:jc w:val="both"/>
    </w:pPr>
  </w:style>
  <w:style w:type="paragraph" w:customStyle="1" w:styleId="cs5a9f518e">
    <w:name w:val="cs5a9f518e"/>
    <w:basedOn w:val="a"/>
    <w:pPr>
      <w:spacing w:before="100" w:beforeAutospacing="1" w:after="100" w:afterAutospacing="1"/>
      <w:ind w:left="-67"/>
    </w:pPr>
  </w:style>
  <w:style w:type="paragraph" w:customStyle="1" w:styleId="cs69ceb116">
    <w:name w:val="cs69ceb116"/>
    <w:basedOn w:val="a"/>
    <w:pPr>
      <w:pBdr>
        <w:top w:val="single" w:sz="8" w:space="5" w:color="000000"/>
        <w:left w:val="single" w:sz="8" w:space="3" w:color="000000"/>
        <w:bottom w:val="single" w:sz="8" w:space="5" w:color="000000"/>
        <w:right w:val="single" w:sz="8" w:space="3" w:color="000000"/>
      </w:pBdr>
      <w:spacing w:before="100" w:beforeAutospacing="1" w:after="100" w:afterAutospacing="1"/>
    </w:pPr>
  </w:style>
  <w:style w:type="paragraph" w:customStyle="1" w:styleId="cs45c45c78">
    <w:name w:val="cs45c45c78"/>
    <w:basedOn w:val="a"/>
    <w:pPr>
      <w:pBdr>
        <w:top w:val="single" w:sz="8" w:space="5" w:color="000000"/>
        <w:left w:val="single" w:sz="8" w:space="3" w:color="000000"/>
        <w:bottom w:val="single" w:sz="8" w:space="5" w:color="000000"/>
        <w:right w:val="single" w:sz="8" w:space="3" w:color="000000"/>
      </w:pBdr>
      <w:spacing w:before="100" w:beforeAutospacing="1" w:after="100" w:afterAutospacing="1"/>
    </w:pPr>
  </w:style>
  <w:style w:type="paragraph" w:customStyle="1" w:styleId="cse03b9689">
    <w:name w:val="cse03b9689"/>
    <w:basedOn w:val="a"/>
    <w:pPr>
      <w:pBdr>
        <w:top w:val="single" w:sz="8" w:space="5" w:color="000000"/>
        <w:left w:val="single" w:sz="8" w:space="3" w:color="000000"/>
        <w:bottom w:val="single" w:sz="8" w:space="5" w:color="000000"/>
        <w:right w:val="single" w:sz="8" w:space="3" w:color="000000"/>
      </w:pBdr>
      <w:spacing w:before="100" w:beforeAutospacing="1" w:after="100" w:afterAutospacing="1"/>
    </w:pPr>
  </w:style>
  <w:style w:type="paragraph" w:customStyle="1" w:styleId="cs24a7b1a4">
    <w:name w:val="cs24a7b1a4"/>
    <w:basedOn w:val="a"/>
    <w:pPr>
      <w:pBdr>
        <w:top w:val="single" w:sz="8" w:space="5" w:color="000000"/>
        <w:left w:val="single" w:sz="8" w:space="3" w:color="000000"/>
        <w:bottom w:val="single" w:sz="8" w:space="5" w:color="000000"/>
        <w:right w:val="single" w:sz="8" w:space="3" w:color="000000"/>
      </w:pBdr>
      <w:spacing w:before="100" w:beforeAutospacing="1" w:after="100" w:afterAutospacing="1"/>
    </w:pPr>
  </w:style>
  <w:style w:type="paragraph" w:customStyle="1" w:styleId="cs8b79bbd8">
    <w:name w:val="cs8b79bbd8"/>
    <w:basedOn w:val="a"/>
    <w:pPr>
      <w:ind w:right="120"/>
    </w:pPr>
  </w:style>
  <w:style w:type="paragraph" w:customStyle="1" w:styleId="csc8f6d76">
    <w:name w:val="csc8f6d76"/>
    <w:basedOn w:val="a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cs5b926006">
    <w:name w:val="cs5b926006"/>
    <w:basedOn w:val="a"/>
    <w:pPr>
      <w:spacing w:before="100" w:beforeAutospacing="1" w:after="100" w:afterAutospacing="1"/>
      <w:ind w:left="96"/>
    </w:pPr>
  </w:style>
  <w:style w:type="paragraph" w:customStyle="1" w:styleId="cs35a6b172">
    <w:name w:val="cs35a6b172"/>
    <w:basedOn w:val="a"/>
    <w:pPr>
      <w:spacing w:before="100" w:beforeAutospacing="1" w:after="100" w:afterAutospacing="1"/>
    </w:pPr>
  </w:style>
  <w:style w:type="paragraph" w:customStyle="1" w:styleId="cs79da67e2">
    <w:name w:val="cs79da67e2"/>
    <w:basedOn w:val="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csc6cdc636">
    <w:name w:val="csc6cdc636"/>
    <w:basedOn w:val="a"/>
    <w:pPr>
      <w:spacing w:before="100" w:beforeAutospacing="1" w:after="100" w:afterAutospacing="1"/>
    </w:pPr>
  </w:style>
  <w:style w:type="paragraph" w:customStyle="1" w:styleId="cs836eca4b">
    <w:name w:val="cs836eca4b"/>
    <w:basedOn w:val="a"/>
    <w:pPr>
      <w:spacing w:before="100" w:beforeAutospacing="1" w:after="100" w:afterAutospacing="1"/>
    </w:pPr>
    <w:rPr>
      <w:color w:val="000000"/>
      <w:sz w:val="20"/>
      <w:szCs w:val="20"/>
      <w:u w:val="single"/>
    </w:rPr>
  </w:style>
  <w:style w:type="character" w:customStyle="1" w:styleId="cs1ba52a261">
    <w:name w:val="cs1ba52a261"/>
    <w:basedOn w:val="a0"/>
    <w:rPr>
      <w:rFonts w:ascii="Arial" w:hAnsi="Arial" w:cs="Arial" w:hint="default"/>
      <w:b/>
      <w:bCs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daae5f71">
    <w:name w:val="csdaae5f71"/>
    <w:basedOn w:val="a0"/>
    <w:rPr>
      <w:rFonts w:ascii="Calibri" w:hAnsi="Calibri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b5073c151">
    <w:name w:val="csb5073c151"/>
    <w:basedOn w:val="a0"/>
    <w:rPr>
      <w:rFonts w:ascii="Courier New" w:hAnsi="Courier New" w:cs="Courier New" w:hint="default"/>
      <w:b/>
      <w:bCs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5ace105b1">
    <w:name w:val="cs5ace105b1"/>
    <w:basedOn w:val="a0"/>
    <w:rPr>
      <w:rFonts w:ascii="Courier New" w:hAnsi="Courier New" w:cs="Courier New" w:hint="default"/>
      <w:b w:val="0"/>
      <w:bCs w:val="0"/>
      <w:i w:val="0"/>
      <w:iCs w:val="0"/>
      <w:color w:val="000000"/>
      <w:sz w:val="16"/>
      <w:szCs w:val="16"/>
      <w:shd w:val="clear" w:color="auto" w:fill="auto"/>
    </w:rPr>
  </w:style>
  <w:style w:type="character" w:customStyle="1" w:styleId="csa33de6751">
    <w:name w:val="csa33de6751"/>
    <w:basedOn w:val="a0"/>
    <w:rPr>
      <w:rFonts w:ascii="Calibri" w:hAnsi="Calibri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f290b4841">
    <w:name w:val="csf290b4841"/>
    <w:basedOn w:val="a0"/>
    <w:rPr>
      <w:rFonts w:ascii="Courier New" w:hAnsi="Courier New" w:cs="Courier New" w:hint="default"/>
      <w:b/>
      <w:bCs/>
      <w:i w:val="0"/>
      <w:iCs w:val="0"/>
      <w:color w:val="000000"/>
      <w:sz w:val="16"/>
      <w:szCs w:val="16"/>
      <w:u w:val="single"/>
      <w:shd w:val="clear" w:color="auto" w:fill="auto"/>
    </w:rPr>
  </w:style>
  <w:style w:type="character" w:customStyle="1" w:styleId="cse6f24a671">
    <w:name w:val="cse6f24a671"/>
    <w:basedOn w:val="a0"/>
    <w:rPr>
      <w:rFonts w:ascii="Courier New" w:hAnsi="Courier New" w:cs="Courier New" w:hint="default"/>
      <w:b w:val="0"/>
      <w:bCs w:val="0"/>
      <w:i w:val="0"/>
      <w:iCs w:val="0"/>
      <w:color w:val="000000"/>
      <w:sz w:val="15"/>
      <w:szCs w:val="15"/>
      <w:shd w:val="clear" w:color="auto" w:fill="auto"/>
    </w:rPr>
  </w:style>
  <w:style w:type="character" w:customStyle="1" w:styleId="cs1027841">
    <w:name w:val="cs1027841"/>
    <w:basedOn w:val="a0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23fb06641">
    <w:name w:val="cs23fb0664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customStyle="1" w:styleId="cs7591b9d91">
    <w:name w:val="cs7591b9d9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FFFFFF"/>
    </w:rPr>
  </w:style>
  <w:style w:type="character" w:customStyle="1" w:styleId="cs53d97ef31">
    <w:name w:val="cs53d97ef31"/>
    <w:basedOn w:val="a0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  <w:shd w:val="clear" w:color="auto" w:fill="FFFFFF"/>
    </w:rPr>
  </w:style>
  <w:style w:type="character" w:customStyle="1" w:styleId="csc8f6d761">
    <w:name w:val="csc8f6d761"/>
    <w:basedOn w:val="a0"/>
    <w:rPr>
      <w:rFonts w:ascii="Calibri" w:hAnsi="Calibri" w:hint="default"/>
      <w:b w:val="0"/>
      <w:bCs w:val="0"/>
      <w:i w:val="0"/>
      <w:iCs w:val="0"/>
      <w:color w:val="000000"/>
      <w:sz w:val="22"/>
      <w:szCs w:val="22"/>
      <w:shd w:val="clear" w:color="auto" w:fill="auto"/>
    </w:rPr>
  </w:style>
  <w:style w:type="character" w:customStyle="1" w:styleId="cs79da67e21">
    <w:name w:val="cs79da67e2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shd w:val="clear" w:color="auto" w:fill="auto"/>
    </w:rPr>
  </w:style>
  <w:style w:type="character" w:customStyle="1" w:styleId="cs836eca4b1">
    <w:name w:val="cs836eca4b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  <w:u w:val="single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2133</Words>
  <Characters>12164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14269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Степченкова Татьяна Ивановна</dc:creator>
  <cp:keywords/>
  <dc:description/>
  <cp:lastModifiedBy>Степченкова Татьяна Ивановна</cp:lastModifiedBy>
  <cp:revision>2</cp:revision>
  <dcterms:created xsi:type="dcterms:W3CDTF">2019-05-29T16:01:00Z</dcterms:created>
  <dcterms:modified xsi:type="dcterms:W3CDTF">2019-05-29T16:01:00Z</dcterms:modified>
</cp:coreProperties>
</file>